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BB99A" w14:textId="7612B998" w:rsidR="00A22FDB" w:rsidRPr="004D0DB8" w:rsidRDefault="00B650E9" w:rsidP="00F7295E">
      <w:pPr>
        <w:ind w:left="5812" w:firstLine="142"/>
        <w:rPr>
          <w:rFonts w:eastAsia="Calibri"/>
          <w:kern w:val="2"/>
          <w:sz w:val="24"/>
          <w:szCs w:val="24"/>
          <w:lang w:eastAsia="en-US"/>
        </w:rPr>
      </w:pPr>
      <w:bookmarkStart w:id="0" w:name="_GoBack"/>
      <w:bookmarkEnd w:id="0"/>
      <w:r w:rsidRPr="004D0DB8">
        <w:rPr>
          <w:rFonts w:eastAsia="Calibri"/>
          <w:kern w:val="2"/>
          <w:sz w:val="24"/>
          <w:szCs w:val="24"/>
          <w:lang w:eastAsia="en-US"/>
        </w:rPr>
        <w:t>У</w:t>
      </w:r>
      <w:r w:rsidR="00A22FDB" w:rsidRPr="004D0DB8">
        <w:rPr>
          <w:rFonts w:eastAsia="Calibri"/>
          <w:kern w:val="2"/>
          <w:sz w:val="24"/>
          <w:szCs w:val="24"/>
          <w:lang w:eastAsia="en-US"/>
        </w:rPr>
        <w:t xml:space="preserve">ТВЕРЖДЕНА </w:t>
      </w:r>
    </w:p>
    <w:p w14:paraId="09DC118E" w14:textId="77777777" w:rsidR="00A22FDB" w:rsidRPr="004D0DB8" w:rsidRDefault="00A22FDB" w:rsidP="00F7295E">
      <w:pPr>
        <w:ind w:left="5812" w:firstLine="142"/>
        <w:rPr>
          <w:rFonts w:eastAsia="Calibri"/>
          <w:kern w:val="2"/>
          <w:sz w:val="24"/>
          <w:szCs w:val="24"/>
          <w:lang w:eastAsia="en-US"/>
        </w:rPr>
      </w:pPr>
      <w:r w:rsidRPr="004D0DB8">
        <w:rPr>
          <w:rFonts w:eastAsia="Calibri"/>
          <w:kern w:val="2"/>
          <w:sz w:val="24"/>
          <w:szCs w:val="24"/>
          <w:lang w:eastAsia="en-US"/>
        </w:rPr>
        <w:t xml:space="preserve">постановлением администрации </w:t>
      </w:r>
    </w:p>
    <w:p w14:paraId="5A9A286F" w14:textId="77777777" w:rsidR="00A22FDB" w:rsidRPr="004D0DB8" w:rsidRDefault="00A22FDB" w:rsidP="00F7295E">
      <w:pPr>
        <w:ind w:left="5812" w:firstLine="142"/>
        <w:rPr>
          <w:rFonts w:eastAsia="Calibri"/>
          <w:kern w:val="2"/>
          <w:sz w:val="24"/>
          <w:szCs w:val="24"/>
          <w:lang w:eastAsia="en-US"/>
        </w:rPr>
      </w:pPr>
      <w:r w:rsidRPr="004D0DB8">
        <w:rPr>
          <w:rFonts w:eastAsia="Calibri"/>
          <w:kern w:val="2"/>
          <w:sz w:val="24"/>
          <w:szCs w:val="24"/>
          <w:lang w:eastAsia="en-US"/>
        </w:rPr>
        <w:t>Тихвинского района</w:t>
      </w:r>
    </w:p>
    <w:p w14:paraId="670E1ED6" w14:textId="7F153125" w:rsidR="00A22FDB" w:rsidRPr="004D0DB8" w:rsidRDefault="00A22FDB" w:rsidP="00F7295E">
      <w:pPr>
        <w:ind w:left="5812" w:firstLine="142"/>
        <w:rPr>
          <w:rFonts w:eastAsia="Calibri"/>
          <w:kern w:val="2"/>
          <w:sz w:val="24"/>
          <w:szCs w:val="24"/>
          <w:lang w:eastAsia="en-US"/>
        </w:rPr>
      </w:pPr>
      <w:r w:rsidRPr="004D0DB8">
        <w:rPr>
          <w:rFonts w:eastAsia="Calibri"/>
          <w:kern w:val="2"/>
          <w:sz w:val="24"/>
          <w:szCs w:val="24"/>
          <w:lang w:eastAsia="en-US"/>
        </w:rPr>
        <w:t xml:space="preserve">от </w:t>
      </w:r>
      <w:r w:rsidR="004D0DB8">
        <w:rPr>
          <w:rFonts w:eastAsia="Calibri"/>
          <w:kern w:val="2"/>
          <w:sz w:val="24"/>
          <w:szCs w:val="24"/>
          <w:lang w:eastAsia="en-US"/>
        </w:rPr>
        <w:t>1 но</w:t>
      </w:r>
      <w:r w:rsidR="00303733" w:rsidRPr="004D0DB8">
        <w:rPr>
          <w:rFonts w:eastAsia="Calibri"/>
          <w:kern w:val="2"/>
          <w:sz w:val="24"/>
          <w:szCs w:val="24"/>
          <w:lang w:eastAsia="en-US"/>
        </w:rPr>
        <w:t xml:space="preserve">ября 2025 г. </w:t>
      </w:r>
      <w:r w:rsidRPr="004D0DB8">
        <w:rPr>
          <w:rFonts w:eastAsia="Calibri"/>
          <w:kern w:val="2"/>
          <w:sz w:val="24"/>
          <w:szCs w:val="24"/>
          <w:lang w:eastAsia="en-US"/>
        </w:rPr>
        <w:t>№</w:t>
      </w:r>
      <w:r w:rsidR="00303733" w:rsidRPr="004D0DB8">
        <w:rPr>
          <w:rFonts w:eastAsia="Calibri"/>
          <w:kern w:val="2"/>
          <w:sz w:val="24"/>
          <w:szCs w:val="24"/>
          <w:lang w:eastAsia="en-US"/>
        </w:rPr>
        <w:t>01-</w:t>
      </w:r>
      <w:r w:rsidR="004D0DB8">
        <w:rPr>
          <w:rFonts w:eastAsia="Calibri"/>
          <w:kern w:val="2"/>
          <w:sz w:val="24"/>
          <w:szCs w:val="24"/>
          <w:lang w:eastAsia="en-US"/>
        </w:rPr>
        <w:t>2945</w:t>
      </w:r>
      <w:r w:rsidR="00B650E9" w:rsidRPr="004D0DB8">
        <w:rPr>
          <w:rFonts w:eastAsia="Calibri"/>
          <w:kern w:val="2"/>
          <w:sz w:val="24"/>
          <w:szCs w:val="24"/>
          <w:lang w:eastAsia="en-US"/>
        </w:rPr>
        <w:t>-</w:t>
      </w:r>
      <w:r w:rsidR="00303733" w:rsidRPr="004D0DB8">
        <w:rPr>
          <w:rFonts w:eastAsia="Calibri"/>
          <w:kern w:val="2"/>
          <w:sz w:val="24"/>
          <w:szCs w:val="24"/>
          <w:lang w:eastAsia="en-US"/>
        </w:rPr>
        <w:t>а</w:t>
      </w:r>
    </w:p>
    <w:p w14:paraId="306F494C" w14:textId="1776500B" w:rsidR="00B650E9" w:rsidRPr="004D0DB8" w:rsidRDefault="00B650E9" w:rsidP="00F7295E">
      <w:pPr>
        <w:ind w:left="5812" w:firstLine="142"/>
        <w:rPr>
          <w:rFonts w:eastAsia="Calibri"/>
          <w:kern w:val="2"/>
          <w:sz w:val="24"/>
          <w:szCs w:val="24"/>
          <w:lang w:eastAsia="en-US"/>
        </w:rPr>
      </w:pPr>
      <w:r w:rsidRPr="004D0DB8">
        <w:rPr>
          <w:rFonts w:eastAsia="Calibri"/>
          <w:kern w:val="2"/>
          <w:sz w:val="24"/>
          <w:szCs w:val="24"/>
          <w:lang w:eastAsia="en-US"/>
        </w:rPr>
        <w:t>(приложение)</w:t>
      </w:r>
    </w:p>
    <w:p w14:paraId="23C1E2E4" w14:textId="77777777" w:rsidR="00A22FDB" w:rsidRPr="002064C3" w:rsidRDefault="00A22FDB" w:rsidP="00303733">
      <w:pPr>
        <w:ind w:left="5040"/>
        <w:rPr>
          <w:rFonts w:eastAsia="Calibri"/>
          <w:color w:val="FFFFFF" w:themeColor="background1"/>
          <w:kern w:val="2"/>
          <w:sz w:val="24"/>
          <w:szCs w:val="24"/>
          <w:lang w:eastAsia="en-US"/>
        </w:rPr>
      </w:pPr>
      <w:r w:rsidRPr="002064C3">
        <w:rPr>
          <w:rFonts w:eastAsia="Calibri"/>
          <w:color w:val="FFFFFF" w:themeColor="background1"/>
          <w:kern w:val="2"/>
          <w:sz w:val="24"/>
          <w:szCs w:val="24"/>
          <w:lang w:eastAsia="en-US"/>
        </w:rPr>
        <w:t>(приложение)</w:t>
      </w:r>
    </w:p>
    <w:p w14:paraId="3EAB3578" w14:textId="7B307708" w:rsidR="000C7E3F" w:rsidRPr="000C7E3F" w:rsidRDefault="000C7E3F" w:rsidP="00F7295E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0C7E3F">
        <w:rPr>
          <w:b/>
          <w:bCs/>
          <w:color w:val="000000"/>
          <w:sz w:val="24"/>
          <w:szCs w:val="24"/>
        </w:rPr>
        <w:t>МУНИЦИПАЛЬНАЯ ПРОГРАММА ТИХВИНСКОГО РАЙОНА</w:t>
      </w:r>
    </w:p>
    <w:p w14:paraId="492F18AE" w14:textId="77777777" w:rsidR="000C7E3F" w:rsidRPr="000C7E3F" w:rsidRDefault="000C7E3F" w:rsidP="00F7295E">
      <w:pPr>
        <w:ind w:firstLine="709"/>
        <w:jc w:val="center"/>
        <w:rPr>
          <w:color w:val="000000"/>
          <w:sz w:val="24"/>
          <w:szCs w:val="24"/>
        </w:rPr>
      </w:pPr>
      <w:r w:rsidRPr="000C7E3F">
        <w:rPr>
          <w:b/>
          <w:bCs/>
          <w:color w:val="000000"/>
          <w:sz w:val="24"/>
          <w:szCs w:val="24"/>
        </w:rPr>
        <w:t>«Безопасность Тихвинского района»</w:t>
      </w:r>
    </w:p>
    <w:p w14:paraId="2ED2AE1E" w14:textId="77777777" w:rsidR="000C7E3F" w:rsidRPr="000C7E3F" w:rsidRDefault="000C7E3F" w:rsidP="00F7295E">
      <w:pPr>
        <w:ind w:firstLine="709"/>
        <w:jc w:val="center"/>
        <w:rPr>
          <w:color w:val="000000"/>
          <w:sz w:val="24"/>
          <w:szCs w:val="24"/>
        </w:rPr>
      </w:pPr>
    </w:p>
    <w:p w14:paraId="636E85BF" w14:textId="77777777" w:rsidR="000C7E3F" w:rsidRPr="000C7E3F" w:rsidRDefault="000C7E3F" w:rsidP="00F7295E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0C7E3F">
        <w:rPr>
          <w:b/>
          <w:bCs/>
          <w:color w:val="000000"/>
          <w:sz w:val="24"/>
          <w:szCs w:val="24"/>
        </w:rPr>
        <w:t>ПАСПОРТ</w:t>
      </w:r>
    </w:p>
    <w:p w14:paraId="220DC9DA" w14:textId="77777777" w:rsidR="000C7E3F" w:rsidRPr="000C7E3F" w:rsidRDefault="000C7E3F" w:rsidP="00F7295E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0C7E3F">
        <w:rPr>
          <w:b/>
          <w:bCs/>
          <w:color w:val="000000"/>
          <w:sz w:val="24"/>
          <w:szCs w:val="24"/>
        </w:rPr>
        <w:t>Муниципальной программы Тихвинского района</w:t>
      </w:r>
    </w:p>
    <w:p w14:paraId="06058565" w14:textId="77777777" w:rsidR="000C7E3F" w:rsidRPr="000C7E3F" w:rsidRDefault="000C7E3F" w:rsidP="00F7295E">
      <w:pPr>
        <w:ind w:firstLine="709"/>
        <w:jc w:val="center"/>
        <w:rPr>
          <w:color w:val="000000"/>
          <w:sz w:val="24"/>
          <w:szCs w:val="24"/>
        </w:rPr>
      </w:pPr>
      <w:r w:rsidRPr="000C7E3F">
        <w:rPr>
          <w:b/>
          <w:bCs/>
          <w:color w:val="000000"/>
          <w:sz w:val="24"/>
          <w:szCs w:val="24"/>
        </w:rPr>
        <w:t>«Безопасность Тихвинского района»</w:t>
      </w:r>
    </w:p>
    <w:p w14:paraId="1CDB14F6" w14:textId="39E10E91" w:rsidR="000C7E3F" w:rsidRPr="00F00E50" w:rsidRDefault="00F00E50" w:rsidP="00F7295E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F00E50">
        <w:rPr>
          <w:b/>
          <w:bCs/>
          <w:color w:val="000000"/>
          <w:sz w:val="24"/>
          <w:szCs w:val="24"/>
        </w:rPr>
        <w:t>(далее муниципальная программа)</w:t>
      </w:r>
    </w:p>
    <w:p w14:paraId="236A7EDC" w14:textId="77777777" w:rsidR="00F00E50" w:rsidRPr="000C7E3F" w:rsidRDefault="00F00E50" w:rsidP="000C7E3F">
      <w:pPr>
        <w:jc w:val="center"/>
        <w:rPr>
          <w:color w:val="000000"/>
          <w:sz w:val="24"/>
          <w:szCs w:val="24"/>
        </w:rPr>
      </w:pPr>
    </w:p>
    <w:tbl>
      <w:tblPr>
        <w:tblW w:w="9252" w:type="dxa"/>
        <w:tblInd w:w="42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69"/>
        <w:gridCol w:w="6183"/>
      </w:tblGrid>
      <w:tr w:rsidR="000C7E3F" w:rsidRPr="000C7E3F" w14:paraId="14352724" w14:textId="77777777" w:rsidTr="00F7295E">
        <w:trPr>
          <w:trHeight w:val="549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EDB9" w14:textId="77777777" w:rsidR="000C7E3F" w:rsidRPr="000C7E3F" w:rsidRDefault="000C7E3F" w:rsidP="000C7E3F">
            <w:pPr>
              <w:jc w:val="left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8935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2026-2028 годы.</w:t>
            </w:r>
          </w:p>
          <w:p w14:paraId="480F762B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</w:p>
        </w:tc>
      </w:tr>
      <w:tr w:rsidR="000C7E3F" w:rsidRPr="000C7E3F" w14:paraId="119F849F" w14:textId="77777777" w:rsidTr="00F7295E">
        <w:trPr>
          <w:trHeight w:val="549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498C" w14:textId="77777777" w:rsidR="000C7E3F" w:rsidRPr="000C7E3F" w:rsidRDefault="000C7E3F" w:rsidP="000C7E3F">
            <w:pPr>
              <w:jc w:val="left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65E9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Отдел безопасности и мобилизационной подготовки администрации Тихвинского района </w:t>
            </w:r>
          </w:p>
        </w:tc>
      </w:tr>
      <w:tr w:rsidR="000C7E3F" w:rsidRPr="000C7E3F" w14:paraId="017EAFFC" w14:textId="77777777" w:rsidTr="00F7295E">
        <w:trPr>
          <w:trHeight w:val="549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8D99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E525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0C7E3F" w:rsidRPr="000C7E3F" w14:paraId="5DF7D388" w14:textId="77777777" w:rsidTr="00F7295E">
        <w:trPr>
          <w:trHeight w:val="564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0D9E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BFE0" w14:textId="4B2B1201" w:rsidR="000C7E3F" w:rsidRPr="000C7E3F" w:rsidRDefault="00F00E50" w:rsidP="00F00E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Муниципальное учреждение</w:t>
            </w:r>
            <w:r w:rsidR="000C7E3F" w:rsidRPr="000C7E3F">
              <w:rPr>
                <w:color w:val="000000"/>
                <w:sz w:val="24"/>
                <w:szCs w:val="24"/>
              </w:rPr>
              <w:t xml:space="preserve"> «Центр административно-хозяйственного обеспечения»</w:t>
            </w:r>
            <w:r>
              <w:rPr>
                <w:color w:val="000000"/>
                <w:sz w:val="24"/>
                <w:szCs w:val="24"/>
              </w:rPr>
              <w:t xml:space="preserve"> (далее МУ «ЦАХО»)</w:t>
            </w:r>
          </w:p>
        </w:tc>
      </w:tr>
      <w:tr w:rsidR="000C7E3F" w:rsidRPr="000C7E3F" w14:paraId="6C9785CC" w14:textId="77777777" w:rsidTr="00F7295E">
        <w:trPr>
          <w:trHeight w:val="816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FC79" w14:textId="77777777" w:rsidR="000C7E3F" w:rsidRPr="000C7E3F" w:rsidRDefault="000C7E3F" w:rsidP="000C7E3F">
            <w:pPr>
              <w:jc w:val="left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7912" w14:textId="5ACB7A98" w:rsidR="000C7E3F" w:rsidRPr="000C7E3F" w:rsidRDefault="000C7E3F" w:rsidP="00F00E50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Повышение уровня безопасности жизнедеятельности населения Тихвинского района</w:t>
            </w:r>
          </w:p>
        </w:tc>
      </w:tr>
      <w:tr w:rsidR="000C7E3F" w:rsidRPr="000C7E3F" w14:paraId="478B9B33" w14:textId="77777777" w:rsidTr="00F7295E">
        <w:trPr>
          <w:trHeight w:val="2465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D049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26A8" w14:textId="6008E91E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sz w:val="24"/>
                <w:szCs w:val="24"/>
              </w:rPr>
              <w:t>-</w:t>
            </w:r>
            <w:bookmarkStart w:id="1" w:name="_Hlk86150392"/>
            <w:r>
              <w:rPr>
                <w:sz w:val="24"/>
                <w:szCs w:val="24"/>
              </w:rPr>
              <w:t xml:space="preserve"> о</w:t>
            </w:r>
            <w:r w:rsidRPr="000C7E3F">
              <w:rPr>
                <w:color w:val="000000"/>
                <w:sz w:val="24"/>
                <w:szCs w:val="24"/>
              </w:rPr>
              <w:t xml:space="preserve">беспечения готовности сил и средств Тихвинского звена </w:t>
            </w:r>
            <w:r w:rsidR="00F00E50">
              <w:rPr>
                <w:color w:val="000000"/>
                <w:sz w:val="24"/>
                <w:szCs w:val="24"/>
              </w:rPr>
              <w:t>Ленинградской областной подсистемы</w:t>
            </w:r>
            <w:r w:rsidR="00F00E50">
              <w:t xml:space="preserve"> </w:t>
            </w:r>
            <w:r w:rsidR="00F00E50" w:rsidRPr="00F00E50">
              <w:rPr>
                <w:color w:val="000000"/>
                <w:sz w:val="24"/>
                <w:szCs w:val="24"/>
              </w:rPr>
              <w:t>РСЧС</w:t>
            </w:r>
            <w:r w:rsidR="00F00E50">
              <w:rPr>
                <w:color w:val="000000"/>
                <w:sz w:val="24"/>
                <w:szCs w:val="24"/>
              </w:rPr>
              <w:t xml:space="preserve"> (далее </w:t>
            </w:r>
            <w:r w:rsidRPr="000C7E3F">
              <w:rPr>
                <w:color w:val="000000"/>
                <w:sz w:val="24"/>
                <w:szCs w:val="24"/>
              </w:rPr>
              <w:t>ЛОП РСЧС</w:t>
            </w:r>
            <w:r w:rsidR="00F00E50">
              <w:rPr>
                <w:color w:val="000000"/>
                <w:sz w:val="24"/>
                <w:szCs w:val="24"/>
              </w:rPr>
              <w:t>)</w:t>
            </w:r>
            <w:r w:rsidRPr="000C7E3F">
              <w:rPr>
                <w:color w:val="000000"/>
                <w:sz w:val="24"/>
                <w:szCs w:val="24"/>
              </w:rPr>
              <w:t xml:space="preserve"> к реагированию на чрезвычайные ситуации природного и техногенного характера (далее</w:t>
            </w:r>
            <w:r w:rsidR="00B650E9">
              <w:rPr>
                <w:color w:val="000000"/>
                <w:sz w:val="24"/>
                <w:szCs w:val="24"/>
              </w:rPr>
              <w:t> </w:t>
            </w:r>
            <w:r w:rsidRPr="000C7E3F">
              <w:rPr>
                <w:color w:val="000000"/>
                <w:sz w:val="24"/>
                <w:szCs w:val="24"/>
              </w:rPr>
              <w:t>чрезвычайные ситуации);</w:t>
            </w:r>
          </w:p>
          <w:p w14:paraId="43C2E654" w14:textId="6C78D041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3F">
              <w:rPr>
                <w:color w:val="000000"/>
                <w:sz w:val="24"/>
                <w:szCs w:val="24"/>
              </w:rPr>
              <w:t>обучение населения вопросам мобилизационной подготовки;</w:t>
            </w:r>
          </w:p>
          <w:p w14:paraId="270B028D" w14:textId="5A7234D1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3F">
              <w:rPr>
                <w:color w:val="000000"/>
                <w:sz w:val="24"/>
                <w:szCs w:val="24"/>
              </w:rPr>
              <w:t>совершенствование системы мер по защите населения и</w:t>
            </w:r>
            <w:r w:rsidR="00B650E9">
              <w:rPr>
                <w:color w:val="000000"/>
                <w:sz w:val="24"/>
                <w:szCs w:val="24"/>
              </w:rPr>
              <w:t> </w:t>
            </w:r>
            <w:r w:rsidRPr="000C7E3F">
              <w:rPr>
                <w:color w:val="000000"/>
                <w:sz w:val="24"/>
                <w:szCs w:val="24"/>
              </w:rPr>
              <w:t xml:space="preserve">территории от </w:t>
            </w:r>
            <w:r w:rsidR="00F00E50">
              <w:rPr>
                <w:color w:val="000000"/>
                <w:sz w:val="24"/>
                <w:szCs w:val="24"/>
              </w:rPr>
              <w:t>чрезвычайных ситуаций</w:t>
            </w:r>
            <w:r w:rsidRPr="000C7E3F">
              <w:rPr>
                <w:color w:val="000000"/>
                <w:sz w:val="24"/>
                <w:szCs w:val="24"/>
              </w:rPr>
              <w:t>;</w:t>
            </w:r>
          </w:p>
          <w:p w14:paraId="6C6DB37C" w14:textId="28E8C0E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3F">
              <w:rPr>
                <w:color w:val="000000"/>
                <w:sz w:val="24"/>
                <w:szCs w:val="24"/>
              </w:rPr>
              <w:t>предупреждение совершения правонарушений и</w:t>
            </w:r>
            <w:r w:rsidR="00B650E9">
              <w:rPr>
                <w:color w:val="000000"/>
                <w:sz w:val="24"/>
                <w:szCs w:val="24"/>
              </w:rPr>
              <w:t> </w:t>
            </w:r>
            <w:r w:rsidRPr="000C7E3F">
              <w:rPr>
                <w:color w:val="000000"/>
                <w:sz w:val="24"/>
                <w:szCs w:val="24"/>
              </w:rPr>
              <w:t>преступлений на территории Тихвинского района</w:t>
            </w:r>
            <w:bookmarkEnd w:id="1"/>
            <w:r w:rsidR="00F00E50">
              <w:rPr>
                <w:color w:val="000000"/>
                <w:sz w:val="24"/>
                <w:szCs w:val="24"/>
              </w:rPr>
              <w:t>.</w:t>
            </w:r>
          </w:p>
        </w:tc>
      </w:tr>
      <w:tr w:rsidR="000C7E3F" w:rsidRPr="000C7E3F" w14:paraId="40E9246E" w14:textId="77777777" w:rsidTr="00F7295E">
        <w:trPr>
          <w:trHeight w:val="4100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D6CE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lastRenderedPageBreak/>
              <w:t xml:space="preserve">Ожидаемые результаты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9086" w14:textId="38CADF18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Реализация мероприятий муниципальной программы позволит повысить уровень безопасности жизнедеятельности населения Тихвинского района за</w:t>
            </w:r>
            <w:r w:rsidR="00B650E9">
              <w:rPr>
                <w:color w:val="000000"/>
                <w:sz w:val="24"/>
                <w:szCs w:val="24"/>
              </w:rPr>
              <w:t> </w:t>
            </w:r>
            <w:r w:rsidRPr="000C7E3F">
              <w:rPr>
                <w:color w:val="000000"/>
                <w:sz w:val="24"/>
                <w:szCs w:val="24"/>
              </w:rPr>
              <w:t>счёт:</w:t>
            </w:r>
          </w:p>
          <w:p w14:paraId="56D34FE7" w14:textId="53C24CA2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 своевременного оповещение населения о действиях в случае угрозы возникновения чрезвычайных ситуаций -10% ежегодно</w:t>
            </w:r>
            <w:r w:rsidR="00F00E50">
              <w:rPr>
                <w:color w:val="000000"/>
                <w:sz w:val="24"/>
                <w:szCs w:val="24"/>
              </w:rPr>
              <w:t>;</w:t>
            </w:r>
          </w:p>
          <w:p w14:paraId="03AD27FD" w14:textId="77777777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 снижения материального ущерба от последствий чрезвычайных ситуаций природного и техногенного характера на 2%;</w:t>
            </w:r>
          </w:p>
          <w:p w14:paraId="24E3CAEF" w14:textId="77777777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- повышения уровня знаний населения в вопросах мобилизационной подготовки на 10% ежегодно;</w:t>
            </w:r>
          </w:p>
          <w:p w14:paraId="0DD509E4" w14:textId="04B868E0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  <w:u w:val="single"/>
              </w:rPr>
            </w:pPr>
            <w:r w:rsidRPr="000C7E3F">
              <w:rPr>
                <w:color w:val="000000"/>
                <w:sz w:val="24"/>
                <w:szCs w:val="24"/>
              </w:rPr>
              <w:t>- поддерживать в рабочем состоянии защитные и заглубленные помещения к использованию по предназначению на 15 % ежегодно;</w:t>
            </w:r>
          </w:p>
        </w:tc>
      </w:tr>
      <w:tr w:rsidR="000C7E3F" w:rsidRPr="000C7E3F" w14:paraId="31128F2B" w14:textId="77777777" w:rsidTr="00F7295E">
        <w:trPr>
          <w:trHeight w:val="564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5711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0F7A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Реализация подпрограмм не предусмотрена</w:t>
            </w:r>
          </w:p>
        </w:tc>
      </w:tr>
      <w:tr w:rsidR="000C7E3F" w:rsidRPr="000C7E3F" w14:paraId="25041D2E" w14:textId="77777777" w:rsidTr="00F7295E">
        <w:trPr>
          <w:trHeight w:val="831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21EA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D7D0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0C7E3F" w:rsidRPr="000C7E3F" w14:paraId="40249329" w14:textId="77777777" w:rsidTr="00F7295E">
        <w:trPr>
          <w:trHeight w:val="1916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46A7" w14:textId="77777777" w:rsidR="000C7E3F" w:rsidRPr="000C7E3F" w:rsidRDefault="000C7E3F" w:rsidP="000C7E3F">
            <w:pPr>
              <w:jc w:val="left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Объёмы бюджетных ассигнований муниципальной программы 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3F73" w14:textId="319C013D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 xml:space="preserve"> Общий объем финансового обеспечения реализации муниципальной программы на 2026-2028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3F">
              <w:rPr>
                <w:color w:val="000000"/>
                <w:sz w:val="24"/>
                <w:szCs w:val="24"/>
              </w:rPr>
              <w:t xml:space="preserve">г. составляет </w:t>
            </w:r>
            <w:r w:rsidRPr="000C7E3F">
              <w:rPr>
                <w:b/>
                <w:bCs/>
                <w:color w:val="000000"/>
                <w:sz w:val="24"/>
                <w:szCs w:val="24"/>
              </w:rPr>
              <w:t>-   70878,9 тыс. руб.</w:t>
            </w:r>
          </w:p>
          <w:p w14:paraId="43A5DCE5" w14:textId="77777777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в том числе по годам:</w:t>
            </w:r>
          </w:p>
          <w:p w14:paraId="4D1806EC" w14:textId="77777777" w:rsidR="000C7E3F" w:rsidRPr="000C7E3F" w:rsidRDefault="000C7E3F" w:rsidP="000C7E3F">
            <w:pPr>
              <w:ind w:firstLine="45"/>
              <w:rPr>
                <w:b/>
                <w:bCs/>
                <w:color w:val="000000"/>
                <w:sz w:val="24"/>
                <w:szCs w:val="24"/>
              </w:rPr>
            </w:pPr>
            <w:r w:rsidRPr="000C7E3F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2026 год </w:t>
            </w:r>
            <w:r w:rsidRPr="000C7E3F">
              <w:rPr>
                <w:b/>
                <w:bCs/>
                <w:color w:val="000000"/>
                <w:sz w:val="24"/>
                <w:szCs w:val="24"/>
              </w:rPr>
              <w:t>– 23781,3 тыс. руб.</w:t>
            </w:r>
          </w:p>
          <w:p w14:paraId="2DCE5B62" w14:textId="77777777" w:rsidR="000C7E3F" w:rsidRPr="000C7E3F" w:rsidRDefault="000C7E3F" w:rsidP="000C7E3F">
            <w:pPr>
              <w:ind w:firstLine="45"/>
              <w:rPr>
                <w:b/>
                <w:bCs/>
                <w:color w:val="000000"/>
                <w:sz w:val="24"/>
                <w:szCs w:val="24"/>
              </w:rPr>
            </w:pPr>
            <w:r w:rsidRPr="000C7E3F">
              <w:rPr>
                <w:b/>
                <w:bCs/>
                <w:color w:val="000000"/>
                <w:sz w:val="24"/>
                <w:szCs w:val="24"/>
                <w:u w:val="single"/>
              </w:rPr>
              <w:t>2027 год</w:t>
            </w:r>
            <w:r w:rsidRPr="000C7E3F">
              <w:rPr>
                <w:b/>
                <w:bCs/>
                <w:color w:val="000000"/>
                <w:sz w:val="24"/>
                <w:szCs w:val="24"/>
              </w:rPr>
              <w:t xml:space="preserve"> – 23548,8 тыс. руб.</w:t>
            </w:r>
          </w:p>
          <w:p w14:paraId="60949BA9" w14:textId="77777777" w:rsidR="000C7E3F" w:rsidRPr="000C7E3F" w:rsidRDefault="000C7E3F" w:rsidP="000C7E3F">
            <w:pPr>
              <w:ind w:firstLine="45"/>
              <w:rPr>
                <w:color w:val="000000"/>
                <w:sz w:val="24"/>
                <w:szCs w:val="24"/>
              </w:rPr>
            </w:pPr>
            <w:r w:rsidRPr="000C7E3F">
              <w:rPr>
                <w:b/>
                <w:bCs/>
                <w:color w:val="000000"/>
                <w:sz w:val="24"/>
                <w:szCs w:val="24"/>
                <w:u w:val="single"/>
              </w:rPr>
              <w:t>2028 год</w:t>
            </w:r>
            <w:r w:rsidRPr="000C7E3F">
              <w:rPr>
                <w:b/>
                <w:bCs/>
                <w:color w:val="000000"/>
                <w:sz w:val="24"/>
                <w:szCs w:val="24"/>
              </w:rPr>
              <w:t xml:space="preserve"> – 23548,8 </w:t>
            </w:r>
            <w:r w:rsidRPr="000C7E3F">
              <w:rPr>
                <w:b/>
                <w:bCs/>
                <w:iCs/>
                <w:color w:val="000000"/>
                <w:sz w:val="24"/>
                <w:szCs w:val="24"/>
              </w:rPr>
              <w:t>тыс. руб</w:t>
            </w:r>
            <w:r w:rsidRPr="000C7E3F">
              <w:rPr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0C7E3F" w:rsidRPr="000C7E3F" w14:paraId="3E9E66D2" w14:textId="77777777" w:rsidTr="00F7295E">
        <w:trPr>
          <w:trHeight w:val="1099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73E5" w14:textId="77777777" w:rsidR="000C7E3F" w:rsidRPr="000C7E3F" w:rsidRDefault="000C7E3F" w:rsidP="000C7E3F">
            <w:pPr>
              <w:jc w:val="left"/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6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F687" w14:textId="77777777" w:rsidR="000C7E3F" w:rsidRPr="000C7E3F" w:rsidRDefault="000C7E3F" w:rsidP="000C7E3F">
            <w:pPr>
              <w:rPr>
                <w:color w:val="000000"/>
                <w:sz w:val="24"/>
                <w:szCs w:val="24"/>
              </w:rPr>
            </w:pPr>
            <w:r w:rsidRPr="000C7E3F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5DDB4E98" w14:textId="77777777" w:rsidR="000C7E3F" w:rsidRPr="000C7E3F" w:rsidRDefault="000C7E3F" w:rsidP="000C7E3F">
      <w:pPr>
        <w:jc w:val="center"/>
        <w:rPr>
          <w:color w:val="000000"/>
          <w:sz w:val="24"/>
          <w:szCs w:val="24"/>
        </w:rPr>
      </w:pPr>
    </w:p>
    <w:p w14:paraId="64064E20" w14:textId="77777777" w:rsidR="00554BEC" w:rsidRPr="000D2CD8" w:rsidRDefault="00554BEC" w:rsidP="000C7E3F">
      <w:pPr>
        <w:ind w:left="10080"/>
        <w:rPr>
          <w:sz w:val="22"/>
          <w:szCs w:val="22"/>
        </w:rPr>
      </w:pPr>
    </w:p>
    <w:sectPr w:rsidR="00554BEC" w:rsidRPr="000D2CD8" w:rsidSect="003D553C">
      <w:headerReference w:type="default" r:id="rId7"/>
      <w:pgSz w:w="11906" w:h="16838"/>
      <w:pgMar w:top="1134" w:right="1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AF136" w14:textId="77777777" w:rsidR="008953EB" w:rsidRDefault="008953EB" w:rsidP="00856F18">
      <w:r>
        <w:separator/>
      </w:r>
    </w:p>
  </w:endnote>
  <w:endnote w:type="continuationSeparator" w:id="0">
    <w:p w14:paraId="345CC5F1" w14:textId="77777777" w:rsidR="008953EB" w:rsidRDefault="008953EB" w:rsidP="0085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35C9B" w14:textId="77777777" w:rsidR="008953EB" w:rsidRDefault="008953EB" w:rsidP="00856F18">
      <w:r>
        <w:separator/>
      </w:r>
    </w:p>
  </w:footnote>
  <w:footnote w:type="continuationSeparator" w:id="0">
    <w:p w14:paraId="324A0060" w14:textId="77777777" w:rsidR="008953EB" w:rsidRDefault="008953EB" w:rsidP="00856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9BB58" w14:textId="450C0E18" w:rsidR="00856F18" w:rsidRDefault="00856F18">
    <w:pPr>
      <w:pStyle w:val="aa"/>
      <w:jc w:val="center"/>
    </w:pPr>
  </w:p>
  <w:p w14:paraId="20BF90AE" w14:textId="77777777" w:rsidR="00856F18" w:rsidRDefault="00856F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6988"/>
    <w:multiLevelType w:val="hybridMultilevel"/>
    <w:tmpl w:val="907A24A4"/>
    <w:lvl w:ilvl="0" w:tplc="76004A7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622"/>
    <w:multiLevelType w:val="hybridMultilevel"/>
    <w:tmpl w:val="FCEC8DBA"/>
    <w:lvl w:ilvl="0" w:tplc="76004A7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1DC242C8"/>
    <w:multiLevelType w:val="hybridMultilevel"/>
    <w:tmpl w:val="82346944"/>
    <w:lvl w:ilvl="0" w:tplc="0AB8B7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F01FD"/>
    <w:multiLevelType w:val="hybridMultilevel"/>
    <w:tmpl w:val="E88600B4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57A631E8"/>
    <w:multiLevelType w:val="hybridMultilevel"/>
    <w:tmpl w:val="C9EE39C4"/>
    <w:lvl w:ilvl="0" w:tplc="D914656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1509"/>
    <w:multiLevelType w:val="hybridMultilevel"/>
    <w:tmpl w:val="59545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662AD"/>
    <w:multiLevelType w:val="hybridMultilevel"/>
    <w:tmpl w:val="118C8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C5174"/>
    <w:multiLevelType w:val="hybridMultilevel"/>
    <w:tmpl w:val="3C60B138"/>
    <w:lvl w:ilvl="0" w:tplc="0AB8B772">
      <w:start w:val="1"/>
      <w:numFmt w:val="bullet"/>
      <w:lvlText w:val="-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C7E3F"/>
    <w:rsid w:val="000D28D7"/>
    <w:rsid w:val="000F1A02"/>
    <w:rsid w:val="00111168"/>
    <w:rsid w:val="00111C1E"/>
    <w:rsid w:val="00137667"/>
    <w:rsid w:val="001464B2"/>
    <w:rsid w:val="0019495C"/>
    <w:rsid w:val="001A2440"/>
    <w:rsid w:val="001B4F8D"/>
    <w:rsid w:val="001F265D"/>
    <w:rsid w:val="002064C3"/>
    <w:rsid w:val="00285D0C"/>
    <w:rsid w:val="002A2B11"/>
    <w:rsid w:val="002F22EB"/>
    <w:rsid w:val="002F3B0D"/>
    <w:rsid w:val="00303733"/>
    <w:rsid w:val="00326996"/>
    <w:rsid w:val="00337222"/>
    <w:rsid w:val="00352C4F"/>
    <w:rsid w:val="003C54CF"/>
    <w:rsid w:val="003C56DD"/>
    <w:rsid w:val="003D553C"/>
    <w:rsid w:val="0043001D"/>
    <w:rsid w:val="00430631"/>
    <w:rsid w:val="004914DD"/>
    <w:rsid w:val="004D0DB8"/>
    <w:rsid w:val="004E569F"/>
    <w:rsid w:val="00511A2B"/>
    <w:rsid w:val="00554BEC"/>
    <w:rsid w:val="00595F6F"/>
    <w:rsid w:val="005C0140"/>
    <w:rsid w:val="005C7483"/>
    <w:rsid w:val="00621DB2"/>
    <w:rsid w:val="006415B0"/>
    <w:rsid w:val="006463D8"/>
    <w:rsid w:val="00701FAB"/>
    <w:rsid w:val="00711921"/>
    <w:rsid w:val="007566B6"/>
    <w:rsid w:val="00796BD1"/>
    <w:rsid w:val="00833912"/>
    <w:rsid w:val="00856F18"/>
    <w:rsid w:val="008953EB"/>
    <w:rsid w:val="008A3858"/>
    <w:rsid w:val="009111C3"/>
    <w:rsid w:val="009840BA"/>
    <w:rsid w:val="00995A1C"/>
    <w:rsid w:val="00A03876"/>
    <w:rsid w:val="00A13C7B"/>
    <w:rsid w:val="00A22FDB"/>
    <w:rsid w:val="00A37199"/>
    <w:rsid w:val="00A54DA1"/>
    <w:rsid w:val="00AE1A2A"/>
    <w:rsid w:val="00B144A1"/>
    <w:rsid w:val="00B52D22"/>
    <w:rsid w:val="00B62013"/>
    <w:rsid w:val="00B650E9"/>
    <w:rsid w:val="00B75142"/>
    <w:rsid w:val="00B83D8D"/>
    <w:rsid w:val="00B95FEE"/>
    <w:rsid w:val="00BF2B0B"/>
    <w:rsid w:val="00C06479"/>
    <w:rsid w:val="00C07D4C"/>
    <w:rsid w:val="00CD31DF"/>
    <w:rsid w:val="00CD54E8"/>
    <w:rsid w:val="00D368DC"/>
    <w:rsid w:val="00D93E3D"/>
    <w:rsid w:val="00D97342"/>
    <w:rsid w:val="00E05B0D"/>
    <w:rsid w:val="00E231F4"/>
    <w:rsid w:val="00F00E50"/>
    <w:rsid w:val="00F31533"/>
    <w:rsid w:val="00F37B69"/>
    <w:rsid w:val="00F4320C"/>
    <w:rsid w:val="00F71B7A"/>
    <w:rsid w:val="00F7295E"/>
    <w:rsid w:val="00F950A3"/>
    <w:rsid w:val="00FA79F8"/>
    <w:rsid w:val="00FD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61019"/>
  <w15:chartTrackingRefBased/>
  <w15:docId w15:val="{421AD256-59D4-4E29-A53F-585BDAEC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A22FDB"/>
  </w:style>
  <w:style w:type="paragraph" w:customStyle="1" w:styleId="Heading">
    <w:name w:val="Heading"/>
    <w:uiPriority w:val="99"/>
    <w:rsid w:val="00A22FDB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C7483"/>
    <w:pPr>
      <w:ind w:left="720"/>
      <w:contextualSpacing/>
    </w:pPr>
  </w:style>
  <w:style w:type="paragraph" w:styleId="aa">
    <w:name w:val="header"/>
    <w:basedOn w:val="a"/>
    <w:link w:val="ab"/>
    <w:uiPriority w:val="99"/>
    <w:rsid w:val="00856F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6F18"/>
    <w:rPr>
      <w:sz w:val="28"/>
    </w:rPr>
  </w:style>
  <w:style w:type="paragraph" w:styleId="ac">
    <w:name w:val="footer"/>
    <w:basedOn w:val="a"/>
    <w:link w:val="ad"/>
    <w:rsid w:val="00856F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56F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6</cp:revision>
  <cp:lastPrinted>2025-11-05T12:31:00Z</cp:lastPrinted>
  <dcterms:created xsi:type="dcterms:W3CDTF">2025-11-11T13:43:00Z</dcterms:created>
  <dcterms:modified xsi:type="dcterms:W3CDTF">2025-11-11T13:55:00Z</dcterms:modified>
</cp:coreProperties>
</file>